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418</w:t>
      </w:r>
    </w:p>
    <w:p>
      <w:r>
        <w:t>Bundesgericht (BGE), 1983-11-24, DE</w:t>
      </w:r>
    </w:p>
    <w:p>
      <w:r>
        <w:rPr>
          <w:b/>
        </w:rPr>
        <w:t xml:space="preserve">Quelle: </w:t>
      </w:r>
      <w:r>
        <w:t>https://mcp.opencaselaw.ch/entscheid/bge_109 II 418</w:t>
      </w:r>
    </w:p>
    <w:p>
      <w:r>
        <w:t>FR: ATF 109 II 418</w:t>
      </w:r>
    </w:p>
    <w:p>
      <w:r>
        <w:t>IT: DTF 109 II 418</w:t>
      </w:r>
    </w:p>
    <w:p>
      <w:pPr>
        <w:pStyle w:val="Heading2"/>
      </w:pPr>
      <w:r>
        <w:t>Regeste</w:t>
      </w:r>
    </w:p>
    <w:p>
      <w:r>
        <w:t>Regeste Verjährung von Schadenersatzansprüchen gemäss Art. 679 ZGB. Schadenersatzansprüche, die sich auf Art. 679 ZGB stützen, unterliegen der Verjährung gemäss Art. 60 OR, während der Anspruch auf Beseitigung der zugrundeliegenden Schädigung unverjährbar ist. Die Verjährungsfrist für den Schadenersatzanspruch beginnt daher nicht zu laufen, solange das schädigende Ereignis, d.h. die übermässige Immission, andauert.</w:t>
      </w:r>
    </w:p>
    <w:p>
      <w:pPr>
        <w:pStyle w:val="Heading2"/>
      </w:pPr>
      <w:r>
        <w:t>Erwägungen</w:t>
      </w:r>
    </w:p>
    <w:p>
      <w:r>
        <w:rPr>
          <w:b/>
        </w:rPr>
        <w:t>E. 2</w:t>
      </w:r>
    </w:p>
    <w:p>
      <w:r>
        <w:t>Der Kläger wirft der Vorinstanz vor, sie habe gegen Bundesrecht verstossen, indem sie angenommen habe, seine Schadenersatzforderung sei bereits verjährt. Er bestreitet zwar nicht, dass der eingeklagte Betrag sich im wesentlichen aus den Auslagen für ärztliche Behandlung in den Jahren 1968 bis 1974 und aus dem Ersatz für seine von der Beklagten widerrechtlich herbeigeführte Erwerbsunfähigkeit in den Jahren 1968 bis 1974 zusammensetzt und dass auch die Verursacherin des behaupteten Schadens seit Jahren bekannt ist, so dass eine Schadenersatzforderung für einen bestimmten Teilschaden gegenüber einem seit längerer Zeit bekannten Schädiger geltend gemacht wird. Der Kläger geht indessen davon aus, dass die im Jahre 1982 vom Obergericht als widerrechtlich festgestellten Lärmimmissionen nach wie vor andauern und die Ursache empfindlicher Beeinträchtigungen seiner Gesundheit und Arbeitsfähigkeit wie auch der Gesundheit seiner Ehefrau bilden. Das gesamte Ausmass des Schadens sei daher noch nicht absehbar, weshalb die Verjährungsfrist von Art. 60 OR nach einhelliger Lehre und Rechtsprechung noch nicht zu laufen begonnen habe, auch wenn gewisse Schadenspositionen bereits bekannt seien.</w:t>
      </w:r>
    </w:p>
    <w:p>
      <w:r>
        <w:rPr>
          <w:b/>
        </w:rPr>
        <w:t>E. 3</w:t>
      </w:r>
    </w:p>
    <w:p>
      <w:r>
        <w:t>Nach der ständigen Rechtsprechung des Bundesgerichts unterliegen Schadenersatzansprüche, die sich auf Art. 679 ZGB stützen, der Verjährung gemäss Art. 60 OR ( BGE 107 II 140 , BGE 81 II 445 /46 und BGE 68 II 375 ). Nach dieser Bestimmung sind eine relative Verjährungsfrist von einem Jahr von dem Tag hinweg, wo der Geschädigte Kenntnis vom Schaden und von der Person des Ersatzpflichtigen erlangt hat, und eine absolute Frist von zehn Jahren, vom Tage der schädigenden Handlung an gerechnet, zu beachten. Im Gegensatz dazu gilt der Anspruch auf Beseitigung oder Unterlassung der Schädigung gemäss Art. 679 ZGB als unverjährbar. Er setzt indessen voraus, dass ein als fortdauernde Störung wirkender Zustand beseitigt werden kann oder eine weitere widerrechtliche Einwirkung zu verhindern ist ( BGE 81 II 446 f. mit Hinweisen). Im Zusammenhang mit dem Beseitigungsanspruch hat sich unter anderem die Frage gestellt, ob mit dem Begriff der Schädigung im Sinne von Art. 679 ZGB der Erfolg der Einwirkung auf dem geschädigten Grundstück oder die schädigende Handlung bzw. der schädigende Zustand auf dem Ausgangsgrundstück BGE 109 II 418 S. 421 gemeint sei. Das Bundesgericht hat diese Frage in BGE 107 II 136 E. 3 dahingehend beantwortet, dass der geschädigte Grundeigentümer mit der Beseitigungsklage des Art. 679 ZGB nur die Beseitigung des den Schaden verursachenden Zustandes auf dem Ausgangsgrundstück, nicht aber die Wiederherstellung des früheren Zustandes seines verletzten Eigentums verlangen könne. Es hielt dafür, dass angesichts des mit Art. 679 und 684 ZGB vom Gesetzgeber verfolgten Zwecks von den Vorrichtungen und Anlagen auszugehen sei, von denen die Immissionen herrühren. Mit der Beseitigungsklage des Art. 679 ZGB soll der Eigentümer des Ausgangsgrundstücks dazu verhalten werden, sein Eigentumsrecht in einer Weise auszuüben, die keine unerlaubten Einwirkungen auf das Nachbargrundstück mehr zur Folge hat. Die Klage richte sich somit gegen die Art der Bewirtschaftung des Ausgangsgrundstücks. Sollten dagegen die Folgen der übermässigen Immissionen auf dem geschädigten Grundstück beseitigt werden, so könne nur die Schadenersatzklage angestrengt werden ( BGE 107 II 136 E. 3a und b). Indessen besteht zwischen dem Beseitigungsanspruch und demjenigen auf Schadenersatz insofern ein unmittelbarer Zusammenhang, als der auf dem geschädigten Grundstück eingetretene Schaden auf die dem Beseitigungs- und allenfalls dem Unterlassungsanspruch zugrundeliegende übermässige Immission zurückzuführen ist. Das schädigende Ereignis, das die als Schaden zu bezeichnenden Folgen auf dem Nachbargrundstück hervorbringt, ist die dem unverjährbaren Beseitigungs- und Unterlassungsanspruch unterliegende widerrechtliche Immission auf dem Ausgangsgrundstück. Daraus folgt für die allein verjährbare Schadenersatzforderung, dass grundsätzlich keine Verjährungsfrist läuft, solange das schädigende Ereignis andauert ( BGE 107 II 140 und BGE 81 II 448 mit Hinweis). Das Bundesgericht schränkt diese Betrachtungsweise in BGE 81 II 448 insofern ein, als es festhält, eine Verjährung könne nur dann nicht zu laufen beginnen, wenn und solange kein abgeschlossener Schaden vorliege. Dieser Vorbehalt bedeutet indessen nur eine Verdeutlichung und nicht eine eigentliche Einschränkung des oben Gesagten. Das Bundesgericht verweist nämlich an dieser Stelle auf BGE 55 II 253 E. 2. Aus diesem Urteil ergibt sich aber mit aller Deutlichkeit, dass der behauptete Schaden nur dann als abgeschlossen betrachtet werden soll, wenn die schädigende Handlung bzw. das schädigende Ereignis schon vor der Einreichung der Schadenersatzklage aufgehört hat. Damit wird auch die in der BGE 109 II 418 S. 422 kantonalen Rechtsprechung vereinzelt vertretene Meinung abgelehnt, wonach es für die Verjährung einer Schadenersatzforderung aufgrund einer übermässigen Immission nur auf den Beginn des schädigenden Ereignisses ankomme, nicht aber auf das Andauern der widerrechtlichen Immission (vgl. das in BGE 81 II 448 zitierte Urteil der Genfer Cour de Justice, in SJ 1945 S. 412). Nun sind gegen diese Betrachtungsweise der bundesgerichtlichen Rechtsprechung in der jüngeren Doktrin gewisse Vorbehalte angemeldet worden (siehe SPIRO, Die Begrenzung privater Rechte durch Verjährungs-, Verwirkungs- und Fatalfristen, Bd. I § 60 S. 125 ff.). Dieser Autor weist darauf hin, dass der Schadenersatzanspruch bei wiederholten und fortgesetzten Delikten, aber auch bei Dauer- und Zustandsdelikten einer Gesamtverjährung unterliegen sollte. Doch macht auch er eine Ausnahme für jene Fälle, in denen die Natur des verletzten Rechtsgutes einen Verzicht und damit auch die Verjährung künftiger Ansprüche ausschliesst oder besondere Regeln entgegenstehen, wozu namentlich die meisten Gefährdungen der körperlichen Integrität und anderer Persönlichkeitsgüter, auf deren Schutz ihr Träger nicht bindend verzichten kann, gehören (SPIRO, a.a.O., S. 128). Solche Persönlichkeitsgüter liegen aber auch der Schadenersatzforderung des Klägers zugrunde, verlangt er doch Schadenersatz wegen der durch die übermässigen Immissionen bewirkten Beeinträchtigung seiner Gesundheit und Arbeitsfähigkeit.</w:t>
      </w:r>
    </w:p>
    <w:p>
      <w:r>
        <w:rPr>
          <w:b/>
        </w:rPr>
        <w:t>E. 4</w:t>
      </w:r>
    </w:p>
    <w:p>
      <w:r>
        <w:t>Der Kläger hat nun seine Schadenersatzansprüche in einem Zeitpunkt geltend gemacht, da die mit Urteil des Obergerichts vom 5. März 1982 rechtskräftig als übermässig und damit widerrechtlich beurteilten Lärmimmissionen vom Grundstück der Beklagten noch andauerten. Es handelte sich auch nicht um blosse Folgewirkungen einer unzulässigen Immission, wie dies für den BGE 81 II 439 ff. zugrundeliegenden Sachverhalt zutraf (dazu LIVER, N. 216 f. zu Art. 737 ZGB , und ZBJV 1983/119 S. 115 ff.), sondern um andauernden übermässigen Lärm. Eine Verjährung des Schadenersatzanspruchs konnte deshalb nicht eintreten. Aber auch während des Prozesses konnte die Verjährungsfrist nicht zu laufen beginnen, solange die übermässigen Lärmimmissionen noch andauerten bzw. andauern, was mindestens bis zum Eintritt der Rechtskraft des ersten Teilurteils des Obergerichts vom 5. März 1982 der Fall war, nach Meinung des Klägers aber heute noch zutrifft. Daran vermag auch der Umstand nichts zu ändern, dass mit der BGE 109 II 418 S. 423 Schadenersatzklage nur Schadensposten geltend gemacht werden, die bereits abgeschlossen sind und sich zum Teil nicht mehr wiederholen können, wie das für die Erwerbsunfähigkeit des Klägers, der inzwischen ins AHV-Alter eingetreten ist, in den Jahren 1968 bis 1974 zutrifft. Der Kläger bemerkt mit Recht unter Hinweis auf BGE 92 II 1 ff., dass die einzelnen Schadensposten, die derselben unerlaubten Handlung entspringen, nicht voneinder zu unterscheidende besondere Schäden darstellen, sondern nur Bestandteile eines einzigen Schadens sind, der erst verwirklicht ist, wenn sein in chronologischer Reihenfolge letzter Teil eingetreten ist. Diese Rechtsprechung wird mit dem Hinweis auf den Zweck des Instituts der Verjährung begründet. Unbesehen des Bedürfnisses nach Rechtssicherheit auf seiten des Schädigers soll nämlich der Geschädigte angesichts der kurzen gesetzlichen Verjährungsfristen nicht gezwungen sein, ein einheitliches Schadensereignis mit unterschiedlichen Schadensfolgen in einer Vielzahl von Prozessen geltend zu machen. Ein solches mühsames Vorgehen würde der Rechtssicherheit nicht dienen, welche das Institut der Verjährung zu fördern bezweckt ( BGE 92 II 5 ). Nach dem Ausgeführten hat die Vorinstanz die vom Kläger geltend gemachte Schadenersatzforderung zu Unrecht als verjährt betrachtet und die Klage demzufolge abgewiesen. Ist die Verjährung des Anspruchs noch nicht eingetreten, so hat das Obergericht die Klage materiell zu behandeln. Das angefochtene Urteil ist daher aufzuheben, und die Sache ist zur materiellen Beurteilung und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